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29" w:rsidRDefault="00D26B5E">
      <w:pPr>
        <w:spacing w:line="36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Załącznik nr 1a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Załącznik do oferty.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7F0129" w:rsidRDefault="007F012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F0129" w:rsidRDefault="00D26B5E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Zaprojektowanie i wykonanie robót budowlanych dla zadania: „Kompleksowe rozwiązanie systemu gospodarki osadowej na oczyszczalni ścieków w Mińsku Mazowieckim” realizowanego w ramach projektu: „Stworzenie innowacyjnego systemu gospodarki osadowej i uzdatniania wody dla potrzeb aglomeracji Mińsk Mazowiecki”. Projekt ubiega się o dofinansowanie ze środków Unii Europejskiej w ramach Programu Operacyjnego Infrastruktura i Środowisko 2014-2020; Oś Priorytetowa II – Ochrona Środowiska, w tym adaptacja do zmian klimatu; Działanie 2.3 Gospodarka wodno-ściekowa w aglomeracjach.”</w:t>
      </w:r>
    </w:p>
    <w:p w:rsidR="007F0129" w:rsidRDefault="007F0129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92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7F0129">
        <w:tc>
          <w:tcPr>
            <w:tcW w:w="6009" w:type="dxa"/>
            <w:shd w:val="clear" w:color="auto" w:fill="auto"/>
          </w:tcPr>
          <w:p w:rsidR="007F0129" w:rsidRPr="00BD439C" w:rsidRDefault="00D26B5E">
            <w:pPr>
              <w:pStyle w:val="Nagwek61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D439C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="0011340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7F0129" w:rsidRPr="00BD439C" w:rsidRDefault="00BD439C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BD43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JRP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.272.12.2017</w:t>
            </w:r>
          </w:p>
        </w:tc>
      </w:tr>
    </w:tbl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  <w:lang w:val="en-US"/>
        </w:rPr>
      </w:pPr>
    </w:p>
    <w:p w:rsidR="007F0129" w:rsidRDefault="00D26B5E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7F0129" w:rsidRDefault="007F0129">
      <w:pPr>
        <w:spacing w:line="360" w:lineRule="auto"/>
        <w:ind w:left="1260"/>
        <w:rPr>
          <w:rFonts w:ascii="Calibri" w:hAnsi="Calibri" w:cs="Calibri"/>
          <w:b/>
          <w:sz w:val="20"/>
          <w:szCs w:val="20"/>
        </w:rPr>
      </w:pPr>
    </w:p>
    <w:p w:rsidR="007F0129" w:rsidRDefault="00D26B5E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Przedsiębiorstwo Wodociągów i Kanalizacji Sp. z o.o. w Mińsku Mazowieckim</w:t>
      </w:r>
    </w:p>
    <w:p w:rsidR="007F0129" w:rsidRDefault="00D26B5E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Józefa Mireckiego 20</w:t>
      </w:r>
    </w:p>
    <w:p w:rsidR="007F0129" w:rsidRDefault="00D26B5E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05-300 Mińsk Mazowiecki</w:t>
      </w:r>
    </w:p>
    <w:p w:rsidR="007F0129" w:rsidRDefault="00D26B5E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Polska</w:t>
      </w:r>
    </w:p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7F0129" w:rsidRDefault="00D26B5E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WYKONAWCA:</w:t>
      </w:r>
    </w:p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21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7F012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D26B5E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D26B5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  <w:p w:rsidR="007F0129" w:rsidRDefault="007F012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D26B5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7F012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0129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7F0129" w:rsidRDefault="00D26B5E">
      <w:pPr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(UWAGA: </w:t>
      </w:r>
      <w:r>
        <w:rPr>
          <w:rFonts w:ascii="Calibri" w:hAnsi="Calibri" w:cs="Calibri"/>
          <w:sz w:val="20"/>
          <w:szCs w:val="20"/>
        </w:rPr>
        <w:t>Wykonawcy proszeni są</w:t>
      </w:r>
      <w:r>
        <w:rPr>
          <w:rFonts w:ascii="Calibri" w:hAnsi="Calibri" w:cs="Calibri"/>
          <w:b/>
          <w:sz w:val="20"/>
          <w:szCs w:val="20"/>
        </w:rPr>
        <w:t xml:space="preserve"> o wypełnienie </w:t>
      </w:r>
      <w:r>
        <w:rPr>
          <w:rFonts w:ascii="Calibri" w:hAnsi="Calibri" w:cs="Calibri"/>
          <w:sz w:val="20"/>
          <w:szCs w:val="20"/>
        </w:rPr>
        <w:t>pustych rubryk w niniejszym Załączniku do Oferty)</w:t>
      </w:r>
    </w:p>
    <w:p w:rsidR="007F0129" w:rsidRDefault="007F012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943"/>
        <w:gridCol w:w="1559"/>
        <w:gridCol w:w="4678"/>
      </w:tblGrid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Klauzule Warunków Ogólnych Kontraktu lub Warunków Szczegółowych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Ustalenia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Kontrakt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aktem umowy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</w:t>
            </w:r>
            <w:r>
              <w:rPr>
                <w:rStyle w:val="FontStyle109"/>
                <w:rFonts w:ascii="Calibri" w:hAnsi="Calibri" w:cs="Calibri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Przedsiębiorstwo Wodociągów i Kanalizacji Sp. z o.o. w Mińsku Mazowieckim</w:t>
            </w:r>
          </w:p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ul. Józefa Mireckiego 20</w:t>
            </w:r>
          </w:p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05-300 Mińsk Mazowiecki</w:t>
            </w:r>
          </w:p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Polska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1.1.2.3 &amp; 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……………..…………………………………….</w:t>
            </w:r>
          </w:p>
          <w:p w:rsidR="007F0129" w:rsidRDefault="007F012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</w:p>
          <w:p w:rsidR="007F0129" w:rsidRDefault="007F0129">
            <w:pPr>
              <w:ind w:firstLine="70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lastRenderedPageBreak/>
              <w:t>Nazwa i adres Inżyniera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1.1.2.4 &amp; 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B-Act Sp. z o.o., ul. Paderewskiego 24, 85-075 Bydgoszcz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Czas na Wykonanie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1.1.3.3.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r>
              <w:rPr>
                <w:rFonts w:ascii="Calibri" w:hAnsi="Calibri" w:cs="Calibri"/>
                <w:sz w:val="18"/>
                <w:szCs w:val="18"/>
              </w:rPr>
              <w:t>24 miesiące od dnia podpisania umowy; w tym:</w:t>
            </w:r>
          </w:p>
          <w:p w:rsidR="007F0129" w:rsidRDefault="00D26B5E">
            <w:pPr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18"/>
                <w:szCs w:val="18"/>
              </w:rPr>
              <w:t>opracowanie projektu budowlanego i złożenie wniosku o wydanie pozwolenia na budowę w terminie do 4 miesięcy od dnia podpisania umowy (kamień milowy);</w:t>
            </w:r>
          </w:p>
          <w:p w:rsidR="007F0129" w:rsidRDefault="00D26B5E">
            <w:pPr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18"/>
                <w:szCs w:val="18"/>
              </w:rPr>
              <w:t>uzyskanie ostatecznej decyzji o pozwoleniu na użytkowanie;</w:t>
            </w:r>
          </w:p>
          <w:p w:rsidR="007F0129" w:rsidRDefault="007F0129">
            <w:pPr>
              <w:pStyle w:val="ListParagraph1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6"/>
              <w:widowControl/>
              <w:tabs>
                <w:tab w:val="left" w:leader="dot" w:pos="2880"/>
              </w:tabs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Okres Zgłaszania Wad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1.1.3.7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ofertą Wykonawcy - …… miesięcy od daty ustalonej zgodnie z kl. 1.1.3.7</w:t>
            </w:r>
          </w:p>
          <w:p w:rsidR="007F0129" w:rsidRDefault="007F0129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6"/>
              <w:widowControl/>
              <w:tabs>
                <w:tab w:val="left" w:leader="dot" w:pos="2880"/>
              </w:tabs>
              <w:spacing w:line="240" w:lineRule="auto"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Rękojmia za wady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1.1.3.10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Okres rękojmi wynosi 60 miesięcy.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6"/>
              <w:widowControl/>
              <w:tabs>
                <w:tab w:val="left" w:leader="dot" w:pos="2880"/>
              </w:tabs>
              <w:spacing w:line="240" w:lineRule="auto"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Przepływ informacji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Pocztą elektroniczna. Wiadomość wysłana pocztą elektroniczną (zeskanowane i podpisane) winna być potwierdzona na piśmie. Zamawiający przewiduje również korzystanie z platformy wyszukiwania i zarządzania procesami i dokumentami (np. BaseCamp) jako narzędzia wspomagającego w trakcie realizacji przedmiotu zamówienia.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6"/>
              <w:widowControl/>
              <w:tabs>
                <w:tab w:val="left" w:leader="dot" w:pos="2909"/>
              </w:tabs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Obowiązujące prawo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ind w:firstLine="3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Rzeczypospolitej Polskiej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Język wiodący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ind w:firstLine="3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polski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Język komunikacji codziennej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ind w:firstLine="3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Język polski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Czas przekazania Terenu Budowy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uaktualnionym (po zakończeniu prac projektowych) Programem Wykonawcy, zatwierdzonym przez Inżyniera.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7F0129">
        <w:trPr>
          <w:trHeight w:val="189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Kwota Zabezpieczenia Wykonania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tabs>
                <w:tab w:val="left" w:leader="dot" w:pos="720"/>
              </w:tabs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4.2</w:t>
            </w:r>
          </w:p>
          <w:p w:rsidR="007F0129" w:rsidRDefault="007F0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pkt. 13 Instrukcji Dla Wykonawców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6"/>
              <w:widowControl/>
              <w:tabs>
                <w:tab w:val="left" w:leader="dot" w:pos="3197"/>
              </w:tabs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Okres powiadamiania o nieprzewidywalnych błędach, wadach i usterkach w Wymaganiach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 dni od daty zawarcia umowy.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Normalne godziny pracy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6.00-22.00</w:t>
            </w:r>
          </w:p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 na wniosek Wykonawcy dopuszcza prace w pozostałych godzinach, z zastrzeżeniem, iż będą one zgodne z obowiązującymi przepisami prawa.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Kara umowna za zwłokę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 xml:space="preserve">8.7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tabs>
                <w:tab w:val="left" w:leader="dot" w:pos="269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Wykonawca zapłaci Zamawiającemu karę umowną za zwłokę:</w:t>
            </w:r>
          </w:p>
          <w:p w:rsidR="007F0129" w:rsidRDefault="00D26B5E">
            <w:pPr>
              <w:pStyle w:val="Style10"/>
              <w:numPr>
                <w:ilvl w:val="0"/>
                <w:numId w:val="2"/>
              </w:numPr>
              <w:tabs>
                <w:tab w:val="left" w:leader="dot" w:pos="269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przypadku zwłoki w wykonaniu przedmiotu Umowy - w wysokości 0,1% Zatwierdzonej Kwoty Kontraktowej brutto za każdy dzień zwłoki;</w:t>
            </w:r>
          </w:p>
          <w:p w:rsidR="007F0129" w:rsidRDefault="00D26B5E">
            <w:pPr>
              <w:pStyle w:val="Style10"/>
              <w:numPr>
                <w:ilvl w:val="0"/>
                <w:numId w:val="2"/>
              </w:numPr>
              <w:tabs>
                <w:tab w:val="left" w:leader="dot" w:pos="269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przypadku zwłoki w złożeniu wniosku o wydanie pozwolenia na budowę - w wysokości 0,05% Zatwierdzonej Kwoty Kontraktowej brutto za każdy dzień zwłoki, </w:t>
            </w:r>
          </w:p>
          <w:p w:rsidR="007F0129" w:rsidRDefault="00D26B5E">
            <w:pPr>
              <w:pStyle w:val="Style10"/>
              <w:numPr>
                <w:ilvl w:val="0"/>
                <w:numId w:val="2"/>
              </w:numPr>
              <w:tabs>
                <w:tab w:val="left" w:leader="dot" w:pos="269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przypadku gdy Wykonawca jest w zwłoce w usunięciu wad w przekazanej dokumentacji projektowej - w wysokości 0,02% Zatwierdzonej Kwoty Kontraktowej brutto za każdy dzień zwłoki;</w:t>
            </w:r>
          </w:p>
          <w:p w:rsidR="007F0129" w:rsidRDefault="00D26B5E">
            <w:pPr>
              <w:pStyle w:val="Style10"/>
              <w:numPr>
                <w:ilvl w:val="0"/>
                <w:numId w:val="2"/>
              </w:numPr>
              <w:tabs>
                <w:tab w:val="left" w:leader="dot" w:pos="269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przypadku nieterminowego przystąpienia do usunięcia wad lub usterek stwierdzonych w Świadectwie Przejęcia lub w okresie gwarancji i rękojmi - w wysokości 0,02% Zatwierdzonej Kwoty Kontraktowej brutto za każdy dzień zwłoki;</w:t>
            </w:r>
          </w:p>
          <w:p w:rsidR="007F0129" w:rsidRDefault="00D26B5E">
            <w:pPr>
              <w:pStyle w:val="Style10"/>
              <w:numPr>
                <w:ilvl w:val="0"/>
                <w:numId w:val="2"/>
              </w:numPr>
              <w:tabs>
                <w:tab w:val="left" w:leader="dot" w:pos="269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przypadku nieterminowego usunięcia wad lub usterek stwierdzonych w Świadectwie Przejęcia lub w okresie gwarancji i rękojmi - w wysokości 0,02% Zatwierdzonej Kwoty Kontraktowej brutto za każdy dzień zwłoki;</w:t>
            </w:r>
          </w:p>
          <w:p w:rsidR="007F0129" w:rsidRDefault="00D26B5E">
            <w:pPr>
              <w:pStyle w:val="Style10"/>
              <w:widowControl/>
              <w:tabs>
                <w:tab w:val="left" w:leader="dot" w:pos="2698"/>
              </w:tabs>
              <w:rPr>
                <w:rStyle w:val="FontStyle109"/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Dodatkowo: </w:t>
            </w:r>
          </w:p>
          <w:p w:rsidR="007F0129" w:rsidRDefault="00D26B5E">
            <w:pPr>
              <w:pStyle w:val="ListParagraph1"/>
              <w:numPr>
                <w:ilvl w:val="0"/>
                <w:numId w:val="2"/>
              </w:numPr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przypadku odstąpienia od Umowy z przyczyn leżących po stronie Wykonawcy - w wysokości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10% Zatwierdzonej Kwoty Kontraktowej brutto;</w:t>
            </w:r>
          </w:p>
          <w:p w:rsidR="007F0129" w:rsidRDefault="00D26B5E">
            <w:pPr>
              <w:pStyle w:val="ListParagraph1"/>
              <w:numPr>
                <w:ilvl w:val="0"/>
                <w:numId w:val="2"/>
              </w:numPr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braku zapłaty lub nieterminowej zapłaty wynagrodzenia należnego podwykonawcom lub dalszym podwykonawcom - w wysokości 0,05% Zatwierdzonej Kwoty Kontraktowej brutto za każdy stwierdzony przypadek;</w:t>
            </w:r>
          </w:p>
          <w:p w:rsidR="007F0129" w:rsidRDefault="00D26B5E">
            <w:pPr>
              <w:pStyle w:val="ListParagraph1"/>
              <w:numPr>
                <w:ilvl w:val="0"/>
                <w:numId w:val="2"/>
              </w:numPr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nieprzedłożenia do zaakceptowania projektu umowy o podwykonawstwo, której przedmiotem są roboty budowlane lub projektu zmiany - w wysokości 0,05% Zatwierdzonej Kwoty Kontraktowej brutto za każdy stwierdzony przypadek;</w:t>
            </w:r>
          </w:p>
          <w:p w:rsidR="007F0129" w:rsidRDefault="00D26B5E">
            <w:pPr>
              <w:pStyle w:val="ListParagraph1"/>
              <w:numPr>
                <w:ilvl w:val="0"/>
                <w:numId w:val="2"/>
              </w:numPr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nieprzedłożenia poświadczonej za zgodność z oryginałem kopii umowy o podwykonawstwo lub jej zmiany - w wysokości 0,05% Zatwierdzonej Kwoty Kontraktowej brutto za każdy stwierdzony przypadek;</w:t>
            </w:r>
          </w:p>
          <w:p w:rsidR="007F0129" w:rsidRDefault="00D26B5E">
            <w:pPr>
              <w:pStyle w:val="ListParagraph1"/>
              <w:numPr>
                <w:ilvl w:val="0"/>
                <w:numId w:val="2"/>
              </w:numPr>
              <w:ind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braku zmiany umowy o podwykonawstwo w zakresie nie wprowadzenia zgłoszonych przez Zamawiającego uwag albo nie uwzględnienia zgłoszonego przez Zamawiającego sprzeciwu do umowy podwykonawczej - w wysokości 0,05% Zatwierdzonej Kwoty Kontraktowej brutto za każdy stwierdzony przypadek; </w:t>
            </w:r>
          </w:p>
          <w:p w:rsidR="007F0129" w:rsidRDefault="00D26B5E">
            <w:pPr>
              <w:pStyle w:val="ListParagraph1"/>
              <w:ind w:left="0" w:right="34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 zapłaci Wykonawcy karę umowną:</w:t>
            </w:r>
          </w:p>
          <w:p w:rsidR="007F0129" w:rsidRDefault="00D26B5E">
            <w:pPr>
              <w:pStyle w:val="ListParagraph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przypadku odstąpienia od Umowy z przyczyn leżących po stronie Zamawiający – 10% Zatwierdzonej Kwoty Kontraktowej brutto;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lastRenderedPageBreak/>
              <w:t>Łączna kwota kar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8.7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20 % Zatwierdzonej Kwoty Kontraktowej (brutto).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6"/>
              <w:widowControl/>
              <w:spacing w:line="240" w:lineRule="auto"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Jeżeli są Kwoty Tymczasowe:</w:t>
            </w:r>
          </w:p>
          <w:p w:rsidR="007F0129" w:rsidRDefault="00D26B5E">
            <w:pPr>
              <w:pStyle w:val="Style56"/>
              <w:widowControl/>
              <w:spacing w:line="240" w:lineRule="auto"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Stopa procentowa</w:t>
            </w:r>
          </w:p>
          <w:p w:rsidR="007F0129" w:rsidRDefault="00D26B5E">
            <w:pPr>
              <w:pStyle w:val="Style56"/>
              <w:widowControl/>
              <w:spacing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dla Kwot Tymczasowych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13.5(b)</w:t>
            </w:r>
          </w:p>
          <w:p w:rsidR="007F0129" w:rsidRDefault="007F01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rPr>
          <w:trHeight w:val="258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57"/>
              <w:widowControl/>
              <w:ind w:left="10" w:hanging="1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Korekty zmian Kosztu.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13.8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Całkowita kwota zaliczki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Liczba i terminy wypłaty rat zaliczki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Waluty i udziały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PLN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Początek spłaty zaliczki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14.2(a)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Potrącenia na spłatę zaliczki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14.2(b)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Potrącenia Kwot Zatrzymanych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14.3(c)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Limit Kwot Zatrzymanych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14.3(c)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dotyczy.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Urządzenia i Materiały płatne po</w:t>
            </w:r>
            <w:r>
              <w:rPr>
                <w:rStyle w:val="FontStyle109"/>
                <w:rFonts w:ascii="Calibri" w:hAnsi="Calibri" w:cs="Calibri"/>
              </w:rPr>
              <w:br/>
              <w:t>dostawie na Teren Budowy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Zgodnie z zapisami zmodyfikowanej klauzuli 14.5.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Minimalna kwota Przejściowego</w:t>
            </w:r>
          </w:p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Świadectwa Płatności</w:t>
            </w:r>
            <w:r>
              <w:rPr>
                <w:rStyle w:val="FontStyle109"/>
                <w:rFonts w:ascii="Calibri" w:hAnsi="Calibri" w:cs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1 500 000,00  PLN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Waluta/Waluty Płatności</w:t>
            </w:r>
          </w:p>
          <w:p w:rsidR="007F0129" w:rsidRDefault="007F012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14.15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Zgodnie z zasadami określonymi w akcie umowy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Terminy na przedstawienie ubezpieczeń:</w:t>
            </w:r>
          </w:p>
          <w:p w:rsidR="007F0129" w:rsidRDefault="00D26B5E">
            <w:pPr>
              <w:pStyle w:val="ListParagraph1"/>
              <w:widowControl w:val="0"/>
              <w:numPr>
                <w:ilvl w:val="0"/>
                <w:numId w:val="1"/>
              </w:numPr>
              <w:rPr>
                <w:rStyle w:val="FontStyle109"/>
                <w:rFonts w:ascii="Calibri" w:eastAsia="MS ??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dowód ubezpieczenia</w:t>
            </w:r>
          </w:p>
          <w:p w:rsidR="007F0129" w:rsidRDefault="00D26B5E">
            <w:pPr>
              <w:pStyle w:val="ListParagraph1"/>
              <w:widowControl w:val="0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odnośne polisy</w:t>
            </w:r>
            <w:r>
              <w:rPr>
                <w:rStyle w:val="FontStyle109"/>
                <w:rFonts w:ascii="Calibri" w:hAnsi="Calibri" w:cs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18.1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 dni po podpisaniu Kontraktu.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Style10"/>
              <w:widowControl/>
              <w:jc w:val="left"/>
              <w:rPr>
                <w:rStyle w:val="FontStyle109"/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Maksymalna dopuszczalna wysokość franszyzy na jedno wydarzenie jakiegokolwiek z ubezpieczeń wymaganych do dokonania i przedłużania według Kontraktu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10% jednak nie więcej niż 40 000,00 PLN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Ubezpieczenie Robót i Sprzętu przez Wykonawcę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18.2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110% Zatwierdzonej Kwoty Kontraktowej (włącznie z VAT) określonej w Akcie Umowy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 xml:space="preserve">Minimalna kwota ubezpieczenia OC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18.3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30 000 000,00 PLN od jednego zdarzenia przy nieograniczonej liczbie zdarzeń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Ubezpieczenie projektanta</w:t>
            </w:r>
          </w:p>
          <w:p w:rsidR="007F0129" w:rsidRDefault="007F0129">
            <w:pPr>
              <w:rPr>
                <w:rStyle w:val="FontStyle109"/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18.5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Tretekstu"/>
              <w:shd w:val="clear" w:color="auto" w:fill="FFFFFF"/>
              <w:spacing w:before="40"/>
              <w:ind w:right="34"/>
              <w:rPr>
                <w:rFonts w:ascii="Calibri" w:hAnsi="Calibri" w:cs="Calibri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sz w:val="18"/>
                <w:szCs w:val="18"/>
              </w:rPr>
              <w:t>Minimalna suma ubezpieczenie projektanta od ryzyka zawodowego wynosi  2 000 000,00 PLN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Style w:val="FontStyle109"/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Data wyznaczenia Komisji Rozjemczej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Tretekstu"/>
              <w:shd w:val="clear" w:color="auto" w:fill="FFFFFF"/>
              <w:spacing w:before="40"/>
              <w:ind w:right="34"/>
              <w:rPr>
                <w:bCs w:val="0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18"/>
                <w:szCs w:val="20"/>
              </w:rPr>
              <w:t>W ciągu 42 dni po tym, kiedy jedna ze Stron da drugiej Stronie powiadomienie o swoim zamiarze wniesienia sporu do Komisji Rozjemczej, zgodnie z klauzulą 20.4</w:t>
            </w:r>
          </w:p>
        </w:tc>
      </w:tr>
      <w:tr w:rsidR="007F0129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Komisja Rozjemcza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20.2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bCs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1 (jedna) osoba </w:t>
            </w:r>
          </w:p>
        </w:tc>
      </w:tr>
      <w:tr w:rsidR="007F0129">
        <w:trPr>
          <w:trHeight w:val="409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Jeśli nie uzgodnione to</w:t>
            </w:r>
          </w:p>
          <w:p w:rsidR="007F0129" w:rsidRDefault="00D26B5E">
            <w:pPr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wyznaczenia Komisji Rozjemczej dokona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FontStyle109"/>
                <w:rFonts w:ascii="Calibri" w:hAnsi="Calibri" w:cs="Calibri"/>
              </w:rPr>
              <w:t>20.3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Tretekstu"/>
              <w:shd w:val="clear" w:color="auto" w:fill="FFFFFF"/>
              <w:spacing w:before="40"/>
              <w:ind w:right="34"/>
              <w:rPr>
                <w:rFonts w:ascii="Calibri" w:hAnsi="Calibri" w:cs="Calibri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18"/>
                <w:szCs w:val="20"/>
              </w:rPr>
              <w:t>W razie braku uzgodnienia przez Strony składu Komisji Rozjemczej spór będzie rozstrzygany przez sąd powszechny właściwy dla siedziby Zamawiającego</w:t>
            </w:r>
          </w:p>
        </w:tc>
      </w:tr>
      <w:tr w:rsidR="007F0129">
        <w:trPr>
          <w:trHeight w:val="409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rPr>
                <w:rStyle w:val="FontStyle109"/>
                <w:rFonts w:ascii="Calibri" w:hAnsi="Calibri" w:cs="Calibri"/>
              </w:rPr>
            </w:pPr>
            <w:bookmarkStart w:id="1" w:name="_Toc340563764"/>
            <w:bookmarkStart w:id="2" w:name="_Toc116195678"/>
            <w:bookmarkEnd w:id="1"/>
            <w:bookmarkEnd w:id="2"/>
            <w:r>
              <w:rPr>
                <w:rStyle w:val="FontStyle109"/>
                <w:rFonts w:ascii="Calibri" w:hAnsi="Calibri" w:cs="Calibri"/>
              </w:rPr>
              <w:t>Arbitraż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jc w:val="center"/>
              <w:rPr>
                <w:rStyle w:val="FontStyle109"/>
                <w:rFonts w:ascii="Calibri" w:hAnsi="Calibri" w:cs="Calibri"/>
              </w:rPr>
            </w:pPr>
            <w:r>
              <w:rPr>
                <w:rStyle w:val="FontStyle109"/>
                <w:rFonts w:ascii="Calibri" w:hAnsi="Calibri" w:cs="Calibri"/>
              </w:rPr>
              <w:t>20.6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0129" w:rsidRDefault="00D26B5E">
            <w:pPr>
              <w:pStyle w:val="Tretekstu"/>
              <w:shd w:val="clear" w:color="auto" w:fill="FFFFFF"/>
              <w:spacing w:before="40"/>
              <w:ind w:right="34"/>
              <w:rPr>
                <w:rFonts w:ascii="Calibri" w:hAnsi="Calibri" w:cs="Calibri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18"/>
                <w:szCs w:val="20"/>
              </w:rPr>
              <w:t>Wszelkie spory, których Strony nie rozstrzygną polubownie, zostaną rozstrzygnięte przez Sąd Powszechny właściwy dla siedziby Zamawiającego</w:t>
            </w:r>
          </w:p>
        </w:tc>
      </w:tr>
    </w:tbl>
    <w:p w:rsidR="007F0129" w:rsidRDefault="007F012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F0129" w:rsidRDefault="007F012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F0129" w:rsidRDefault="007F012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F0129" w:rsidRDefault="007F0129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F0129" w:rsidRDefault="00D26B5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99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700"/>
        <w:gridCol w:w="3061"/>
        <w:gridCol w:w="1299"/>
        <w:gridCol w:w="1059"/>
      </w:tblGrid>
      <w:tr w:rsidR="007F0129">
        <w:trPr>
          <w:jc w:val="center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70" w:type="dxa"/>
            </w:tcMar>
          </w:tcPr>
          <w:p w:rsidR="007F0129" w:rsidRDefault="00D26B5E">
            <w:pPr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70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>Nazwa(y) Wykonawcy(ów)</w:t>
            </w:r>
          </w:p>
          <w:p w:rsidR="007F0129" w:rsidRDefault="007F0129">
            <w:pPr>
              <w:rPr>
                <w:rFonts w:ascii="Calibri" w:hAnsi="Calibri" w:cs="Calibri"/>
                <w:sz w:val="16"/>
                <w:szCs w:val="20"/>
              </w:rPr>
            </w:pPr>
          </w:p>
          <w:p w:rsidR="007F0129" w:rsidRDefault="007F0129">
            <w:pPr>
              <w:jc w:val="right"/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70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70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70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 xml:space="preserve">Pieczęć(cie) Wykonawcy(ów) 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70" w:type="dxa"/>
            </w:tcMar>
          </w:tcPr>
          <w:p w:rsidR="007F0129" w:rsidRDefault="00D26B5E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 xml:space="preserve">Miejscowość </w:t>
            </w:r>
          </w:p>
          <w:p w:rsidR="007F0129" w:rsidRDefault="00D26B5E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0"/>
              </w:rPr>
              <w:t>i  data</w:t>
            </w:r>
          </w:p>
        </w:tc>
      </w:tr>
      <w:tr w:rsidR="007F0129">
        <w:trPr>
          <w:jc w:val="center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7F0129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7F0129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F0129">
        <w:trPr>
          <w:jc w:val="center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0129" w:rsidRDefault="007F0129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7F0129" w:rsidRDefault="007F012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7F0129" w:rsidRDefault="007F0129"/>
    <w:sectPr w:rsidR="007F0129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5E" w:rsidRDefault="00D26B5E">
      <w:r>
        <w:separator/>
      </w:r>
    </w:p>
  </w:endnote>
  <w:endnote w:type="continuationSeparator" w:id="0">
    <w:p w:rsidR="00D26B5E" w:rsidRDefault="00D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5E" w:rsidRDefault="00D26B5E">
      <w:r>
        <w:separator/>
      </w:r>
    </w:p>
  </w:footnote>
  <w:footnote w:type="continuationSeparator" w:id="0">
    <w:p w:rsidR="00D26B5E" w:rsidRDefault="00D2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Look w:val="01E0" w:firstRow="1" w:lastRow="1" w:firstColumn="1" w:lastColumn="1" w:noHBand="0" w:noVBand="0"/>
    </w:tblPr>
    <w:tblGrid>
      <w:gridCol w:w="3314"/>
      <w:gridCol w:w="1668"/>
      <w:gridCol w:w="4090"/>
    </w:tblGrid>
    <w:tr w:rsidR="007F0129">
      <w:trPr>
        <w:jc w:val="center"/>
      </w:trPr>
      <w:tc>
        <w:tcPr>
          <w:tcW w:w="3318" w:type="dxa"/>
          <w:shd w:val="clear" w:color="auto" w:fill="auto"/>
          <w:vAlign w:val="center"/>
        </w:tcPr>
        <w:p w:rsidR="007F0129" w:rsidRDefault="007F0129">
          <w:pPr>
            <w:pStyle w:val="Gwka"/>
            <w:jc w:val="center"/>
          </w:pPr>
        </w:p>
      </w:tc>
      <w:tc>
        <w:tcPr>
          <w:tcW w:w="1660" w:type="dxa"/>
          <w:shd w:val="clear" w:color="auto" w:fill="auto"/>
          <w:vAlign w:val="center"/>
        </w:tcPr>
        <w:p w:rsidR="007F0129" w:rsidRDefault="00D26B5E">
          <w:pPr>
            <w:pStyle w:val="Gwka"/>
            <w:jc w:val="center"/>
          </w:pPr>
          <w:r>
            <w:rPr>
              <w:noProof/>
            </w:rPr>
            <w:drawing>
              <wp:inline distT="0" distB="0" distL="0" distR="0">
                <wp:extent cx="922020" cy="4038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4" w:type="dxa"/>
          <w:shd w:val="clear" w:color="auto" w:fill="auto"/>
          <w:vAlign w:val="center"/>
        </w:tcPr>
        <w:p w:rsidR="007F0129" w:rsidRDefault="007F0129">
          <w:pPr>
            <w:pStyle w:val="Gwka"/>
            <w:jc w:val="center"/>
          </w:pPr>
        </w:p>
      </w:tc>
    </w:tr>
  </w:tbl>
  <w:p w:rsidR="007F0129" w:rsidRDefault="007F0129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C0F"/>
    <w:multiLevelType w:val="multilevel"/>
    <w:tmpl w:val="054EE1D8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hAnsi="Calibri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840C4"/>
    <w:multiLevelType w:val="multilevel"/>
    <w:tmpl w:val="A6EAE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>
    <w:nsid w:val="4CE11398"/>
    <w:multiLevelType w:val="multilevel"/>
    <w:tmpl w:val="CB88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4C6715"/>
    <w:multiLevelType w:val="multilevel"/>
    <w:tmpl w:val="B5DE79B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29"/>
    <w:rsid w:val="00104DF9"/>
    <w:rsid w:val="00113408"/>
    <w:rsid w:val="002067C2"/>
    <w:rsid w:val="007F0129"/>
    <w:rsid w:val="00B3027F"/>
    <w:rsid w:val="00BD439C"/>
    <w:rsid w:val="00D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link w:val="Nagwek6Znak"/>
    <w:qFormat/>
    <w:rsid w:val="008E3AD7"/>
    <w:pPr>
      <w:keepNext/>
      <w:outlineLvl w:val="5"/>
    </w:pPr>
    <w:rPr>
      <w:rFonts w:ascii="Arial" w:hAnsi="Arial"/>
      <w:b/>
      <w:bCs/>
    </w:rPr>
  </w:style>
  <w:style w:type="character" w:customStyle="1" w:styleId="Nagwek6Znak">
    <w:name w:val="Nagłówek 6 Znak"/>
    <w:basedOn w:val="Domylnaczcionkaakapitu"/>
    <w:link w:val="Nagwek61"/>
    <w:qFormat/>
    <w:rsid w:val="008E3AD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8E3AD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8E3AD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FontStyle109">
    <w:name w:val="Font Style109"/>
    <w:qFormat/>
    <w:rsid w:val="008E3AD7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FE3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E3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0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  <w:sz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Znakinumeracji">
    <w:name w:val="Znaki numeracji"/>
    <w:qFormat/>
    <w:rPr>
      <w:sz w:val="18"/>
      <w:szCs w:val="18"/>
    </w:rPr>
  </w:style>
  <w:style w:type="paragraph" w:customStyle="1" w:styleId="Nagwek1">
    <w:name w:val="Nagłówek1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E3AD7"/>
    <w:pPr>
      <w:jc w:val="both"/>
    </w:pPr>
    <w:rPr>
      <w:rFonts w:ascii="Arial" w:hAnsi="Arial"/>
      <w:b/>
      <w:bCs/>
      <w:i/>
      <w:iCs/>
    </w:rPr>
  </w:style>
  <w:style w:type="paragraph" w:customStyle="1" w:styleId="Lista1">
    <w:name w:val="Lista1"/>
    <w:basedOn w:val="Tretekstu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istParagraph1">
    <w:name w:val="List Paragraph1"/>
    <w:basedOn w:val="Normalny"/>
    <w:qFormat/>
    <w:rsid w:val="008E3AD7"/>
    <w:pPr>
      <w:ind w:left="708"/>
    </w:pPr>
  </w:style>
  <w:style w:type="paragraph" w:customStyle="1" w:styleId="Style10">
    <w:name w:val="Style10"/>
    <w:basedOn w:val="Normalny"/>
    <w:qFormat/>
    <w:rsid w:val="008E3AD7"/>
    <w:pPr>
      <w:widowControl w:val="0"/>
      <w:jc w:val="both"/>
    </w:pPr>
    <w:rPr>
      <w:rFonts w:ascii="Arial" w:eastAsia="MS ??" w:hAnsi="Arial" w:cs="Arial"/>
    </w:rPr>
  </w:style>
  <w:style w:type="paragraph" w:customStyle="1" w:styleId="Style56">
    <w:name w:val="Style56"/>
    <w:basedOn w:val="Normalny"/>
    <w:qFormat/>
    <w:rsid w:val="008E3AD7"/>
    <w:pPr>
      <w:widowControl w:val="0"/>
      <w:spacing w:line="250" w:lineRule="exact"/>
      <w:jc w:val="both"/>
    </w:pPr>
    <w:rPr>
      <w:rFonts w:ascii="Arial" w:eastAsia="MS ??" w:hAnsi="Arial" w:cs="Arial"/>
    </w:rPr>
  </w:style>
  <w:style w:type="paragraph" w:customStyle="1" w:styleId="Style57">
    <w:name w:val="Style57"/>
    <w:basedOn w:val="Normalny"/>
    <w:qFormat/>
    <w:rsid w:val="008E3AD7"/>
    <w:pPr>
      <w:widowControl w:val="0"/>
    </w:pPr>
    <w:rPr>
      <w:rFonts w:ascii="Arial" w:eastAsia="MS ??" w:hAnsi="Arial" w:cs="Arial"/>
    </w:rPr>
  </w:style>
  <w:style w:type="paragraph" w:customStyle="1" w:styleId="Gwka">
    <w:name w:val="Główka"/>
    <w:basedOn w:val="Normalny"/>
    <w:unhideWhenUsed/>
    <w:rsid w:val="00FE351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E3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0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1"/>
    <w:unhideWhenUsed/>
    <w:rsid w:val="002067C2"/>
    <w:pPr>
      <w:tabs>
        <w:tab w:val="center" w:pos="4680"/>
        <w:tab w:val="right" w:pos="9360"/>
      </w:tabs>
    </w:pPr>
  </w:style>
  <w:style w:type="character" w:customStyle="1" w:styleId="NagwekZnak1">
    <w:name w:val="Nagłówek Znak1"/>
    <w:basedOn w:val="Domylnaczcionkaakapitu"/>
    <w:link w:val="Nagwek"/>
    <w:rsid w:val="0020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067C2"/>
    <w:pPr>
      <w:tabs>
        <w:tab w:val="center" w:pos="4680"/>
        <w:tab w:val="right" w:pos="9360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06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link w:val="Nagwek6Znak"/>
    <w:qFormat/>
    <w:rsid w:val="008E3AD7"/>
    <w:pPr>
      <w:keepNext/>
      <w:outlineLvl w:val="5"/>
    </w:pPr>
    <w:rPr>
      <w:rFonts w:ascii="Arial" w:hAnsi="Arial"/>
      <w:b/>
      <w:bCs/>
    </w:rPr>
  </w:style>
  <w:style w:type="character" w:customStyle="1" w:styleId="Nagwek6Znak">
    <w:name w:val="Nagłówek 6 Znak"/>
    <w:basedOn w:val="Domylnaczcionkaakapitu"/>
    <w:link w:val="Nagwek61"/>
    <w:qFormat/>
    <w:rsid w:val="008E3AD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8E3AD7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8E3AD7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FontStyle109">
    <w:name w:val="Font Style109"/>
    <w:qFormat/>
    <w:rsid w:val="008E3AD7"/>
    <w:rPr>
      <w:rFonts w:ascii="Arial" w:hAnsi="Arial" w:cs="Arial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FE3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E3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00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  <w:sz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Znakinumeracji">
    <w:name w:val="Znaki numeracji"/>
    <w:qFormat/>
    <w:rPr>
      <w:sz w:val="18"/>
      <w:szCs w:val="18"/>
    </w:rPr>
  </w:style>
  <w:style w:type="paragraph" w:customStyle="1" w:styleId="Nagwek1">
    <w:name w:val="Nagłówek1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E3AD7"/>
    <w:pPr>
      <w:jc w:val="both"/>
    </w:pPr>
    <w:rPr>
      <w:rFonts w:ascii="Arial" w:hAnsi="Arial"/>
      <w:b/>
      <w:bCs/>
      <w:i/>
      <w:iCs/>
    </w:rPr>
  </w:style>
  <w:style w:type="paragraph" w:customStyle="1" w:styleId="Lista1">
    <w:name w:val="Lista1"/>
    <w:basedOn w:val="Tretekstu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istParagraph1">
    <w:name w:val="List Paragraph1"/>
    <w:basedOn w:val="Normalny"/>
    <w:qFormat/>
    <w:rsid w:val="008E3AD7"/>
    <w:pPr>
      <w:ind w:left="708"/>
    </w:pPr>
  </w:style>
  <w:style w:type="paragraph" w:customStyle="1" w:styleId="Style10">
    <w:name w:val="Style10"/>
    <w:basedOn w:val="Normalny"/>
    <w:qFormat/>
    <w:rsid w:val="008E3AD7"/>
    <w:pPr>
      <w:widowControl w:val="0"/>
      <w:jc w:val="both"/>
    </w:pPr>
    <w:rPr>
      <w:rFonts w:ascii="Arial" w:eastAsia="MS ??" w:hAnsi="Arial" w:cs="Arial"/>
    </w:rPr>
  </w:style>
  <w:style w:type="paragraph" w:customStyle="1" w:styleId="Style56">
    <w:name w:val="Style56"/>
    <w:basedOn w:val="Normalny"/>
    <w:qFormat/>
    <w:rsid w:val="008E3AD7"/>
    <w:pPr>
      <w:widowControl w:val="0"/>
      <w:spacing w:line="250" w:lineRule="exact"/>
      <w:jc w:val="both"/>
    </w:pPr>
    <w:rPr>
      <w:rFonts w:ascii="Arial" w:eastAsia="MS ??" w:hAnsi="Arial" w:cs="Arial"/>
    </w:rPr>
  </w:style>
  <w:style w:type="paragraph" w:customStyle="1" w:styleId="Style57">
    <w:name w:val="Style57"/>
    <w:basedOn w:val="Normalny"/>
    <w:qFormat/>
    <w:rsid w:val="008E3AD7"/>
    <w:pPr>
      <w:widowControl w:val="0"/>
    </w:pPr>
    <w:rPr>
      <w:rFonts w:ascii="Arial" w:eastAsia="MS ??" w:hAnsi="Arial" w:cs="Arial"/>
    </w:rPr>
  </w:style>
  <w:style w:type="paragraph" w:customStyle="1" w:styleId="Gwka">
    <w:name w:val="Główka"/>
    <w:basedOn w:val="Normalny"/>
    <w:unhideWhenUsed/>
    <w:rsid w:val="00FE351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FE3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00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1"/>
    <w:unhideWhenUsed/>
    <w:rsid w:val="002067C2"/>
    <w:pPr>
      <w:tabs>
        <w:tab w:val="center" w:pos="4680"/>
        <w:tab w:val="right" w:pos="9360"/>
      </w:tabs>
    </w:pPr>
  </w:style>
  <w:style w:type="character" w:customStyle="1" w:styleId="NagwekZnak1">
    <w:name w:val="Nagłówek Znak1"/>
    <w:basedOn w:val="Domylnaczcionkaakapitu"/>
    <w:link w:val="Nagwek"/>
    <w:rsid w:val="0020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067C2"/>
    <w:pPr>
      <w:tabs>
        <w:tab w:val="center" w:pos="4680"/>
        <w:tab w:val="right" w:pos="9360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06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Rakowska</dc:creator>
  <dc:description/>
  <cp:lastModifiedBy>Grzegorz</cp:lastModifiedBy>
  <cp:revision>12</cp:revision>
  <cp:lastPrinted>2017-11-02T08:27:00Z</cp:lastPrinted>
  <dcterms:created xsi:type="dcterms:W3CDTF">2017-09-21T08:36:00Z</dcterms:created>
  <dcterms:modified xsi:type="dcterms:W3CDTF">2017-11-02T08:27:00Z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